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348" w:lineRule="auto"/>
        <w:rPr>
          <w:rFonts w:hint="eastAsia" w:eastAsia="黑体" w:cs="黑体"/>
          <w:bCs/>
          <w:sz w:val="32"/>
          <w:szCs w:val="32"/>
        </w:rPr>
      </w:pPr>
      <w:bookmarkStart w:id="0" w:name="_GoBack"/>
      <w:bookmarkEnd w:id="0"/>
    </w:p>
    <w:p>
      <w:pPr>
        <w:spacing w:before="156" w:beforeLines="50"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line="760" w:lineRule="exact"/>
        <w:ind w:firstLine="320" w:firstLineChars="1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>
      <w:pPr>
        <w:spacing w:before="156" w:beforeLines="50" w:line="760" w:lineRule="exact"/>
        <w:ind w:firstLine="320" w:firstLineChars="1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val="en-US" w:eastAsia="zh-CN"/>
        </w:rPr>
        <w:t>非税收入执收成本</w:t>
      </w:r>
      <w:r>
        <w:rPr>
          <w:rFonts w:hint="eastAsia" w:eastAsia="仿宋_GB2312"/>
          <w:sz w:val="32"/>
          <w:u w:val="single"/>
        </w:rPr>
        <w:t xml:space="preserve">                </w:t>
      </w:r>
    </w:p>
    <w:p>
      <w:pPr>
        <w:spacing w:before="156" w:beforeLines="50" w:line="760" w:lineRule="exact"/>
        <w:ind w:firstLine="320" w:firstLineChars="100"/>
        <w:jc w:val="left"/>
        <w:rPr>
          <w:rFonts w:hint="eastAsia" w:eastAsia="仿宋_GB2312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  <w:lang w:val="en-US" w:eastAsia="zh-CN"/>
        </w:rPr>
        <w:t>岳阳市公共租赁房屋运营服务中心、</w:t>
      </w:r>
    </w:p>
    <w:p>
      <w:pPr>
        <w:spacing w:before="156" w:beforeLines="50" w:line="760" w:lineRule="exact"/>
        <w:ind w:firstLine="1920" w:firstLineChars="600"/>
        <w:jc w:val="left"/>
        <w:rPr>
          <w:rFonts w:hint="default" w:eastAsia="仿宋_GB2312"/>
          <w:sz w:val="32"/>
          <w:lang w:val="en-US"/>
        </w:rPr>
      </w:pPr>
      <w:r>
        <w:rPr>
          <w:rFonts w:hint="eastAsia" w:eastAsia="仿宋_GB2312"/>
          <w:sz w:val="32"/>
          <w:u w:val="single"/>
          <w:lang w:val="en-US" w:eastAsia="zh-CN"/>
        </w:rPr>
        <w:t xml:space="preserve">岳阳市直管公房运营服务中心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  <w:lang w:val="en-US" w:eastAsia="zh-CN"/>
        </w:rPr>
        <w:t>岳阳市住房保障服务中心</w:t>
      </w:r>
      <w:r>
        <w:rPr>
          <w:rFonts w:hint="eastAsia" w:eastAsia="仿宋_GB2312"/>
          <w:sz w:val="32"/>
          <w:u w:val="single"/>
        </w:rPr>
        <w:t xml:space="preserve">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评价方式：单位绩效自评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评价机构：单位评价组   </w:t>
      </w:r>
    </w:p>
    <w:p>
      <w:pPr>
        <w:spacing w:before="156" w:beforeLines="50" w:line="7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hint="eastAsia" w:eastAsia="仿宋_GB2312"/>
          <w:sz w:val="32"/>
          <w:lang w:val="en-US" w:eastAsia="zh-CN"/>
        </w:rPr>
        <w:t>2020</w:t>
      </w:r>
      <w:r>
        <w:rPr>
          <w:rFonts w:hint="eastAsia" w:eastAsia="仿宋_GB2312"/>
          <w:sz w:val="32"/>
        </w:rPr>
        <w:t xml:space="preserve"> 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月 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both"/>
        <w:rPr>
          <w:rFonts w:hint="eastAsia" w:eastAsia="仿宋_GB2312"/>
          <w:sz w:val="32"/>
        </w:rPr>
      </w:pPr>
    </w:p>
    <w:p>
      <w:pPr>
        <w:spacing w:line="100" w:lineRule="exact"/>
        <w:jc w:val="both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both"/>
        <w:rPr>
          <w:rFonts w:hint="eastAsia" w:eastAsia="仿宋_GB2312"/>
          <w:sz w:val="32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79"/>
        <w:gridCol w:w="221"/>
        <w:gridCol w:w="414"/>
        <w:gridCol w:w="306"/>
        <w:gridCol w:w="638"/>
        <w:gridCol w:w="709"/>
        <w:gridCol w:w="322"/>
        <w:gridCol w:w="695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欧宏绘、孙志诚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18807305988、13762088999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南湖大道315号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ind w:firstLine="1190" w:firstLineChars="496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2019</w:t>
            </w:r>
            <w:r>
              <w:rPr>
                <w:rFonts w:hint="eastAsia" w:eastAsia="仿宋_GB2312"/>
                <w:sz w:val="24"/>
              </w:rPr>
              <w:t xml:space="preserve">年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月起至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2019</w:t>
            </w:r>
            <w:r>
              <w:rPr>
                <w:rFonts w:hint="eastAsia" w:eastAsia="仿宋_GB2312"/>
                <w:sz w:val="24"/>
              </w:rPr>
              <w:t xml:space="preserve">    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16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1110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 w:val="0"/>
                <w:bCs w:val="0"/>
                <w:spacing w:val="-6"/>
                <w:sz w:val="21"/>
                <w:szCs w:val="21"/>
              </w:rPr>
            </w:pPr>
          </w:p>
        </w:tc>
        <w:tc>
          <w:tcPr>
            <w:tcW w:w="16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16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1110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6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工资福利费用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402.12</w:t>
            </w:r>
          </w:p>
        </w:tc>
        <w:tc>
          <w:tcPr>
            <w:tcW w:w="26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差额人员支出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商品和服务费用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352.36</w:t>
            </w:r>
          </w:p>
        </w:tc>
        <w:tc>
          <w:tcPr>
            <w:tcW w:w="26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维修、物业管理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退休人员支出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355.52</w:t>
            </w:r>
          </w:p>
        </w:tc>
        <w:tc>
          <w:tcPr>
            <w:tcW w:w="26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养老金缺口、费用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6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1110</w:t>
            </w:r>
          </w:p>
        </w:tc>
        <w:tc>
          <w:tcPr>
            <w:tcW w:w="26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9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509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1.完成租金1110万元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2.完成1470户住房住房入户分配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3.完成麿子山、枫桥湖和斗蓬山拆迁，启动G240拆迁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4.完成400多户公房维修，每个单位配备消防栓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2019年已完成预期目标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二级指标</w:t>
            </w: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指标内容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指标（目标）值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项目产出指标</w:t>
            </w:r>
          </w:p>
        </w:tc>
        <w:tc>
          <w:tcPr>
            <w:tcW w:w="15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数量指标</w:t>
            </w: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1.按时足额收取租金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2.公房及时维修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完成97%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质量指标</w:t>
            </w: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1.租金收入完成率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2.房屋居住安全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时效指标</w:t>
            </w: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项目周期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2019年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成本指标</w:t>
            </w: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年度控制预算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项目效益指标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</w:t>
            </w: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租金收缴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超额完成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社会效益指标</w:t>
            </w: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保障低收入家庭居住安全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9734户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</w:t>
            </w: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改善社区环境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、改善老旧城区面貌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94%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服务对象满意度指标</w:t>
            </w:r>
          </w:p>
        </w:tc>
        <w:tc>
          <w:tcPr>
            <w:tcW w:w="15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获租住人群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满意度</w:t>
            </w: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5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职称/职务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位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樊卫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中心党组书记、主任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住保中心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伍丽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住保中心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李军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纪检书记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住保中心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欧宏绘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公共租赁运营中心主任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住保中心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孙志成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直管公房运营中心主任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住保中心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刘美芝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计财审计科副科长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住保中心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exact"/>
          <w:jc w:val="center"/>
        </w:trPr>
        <w:tc>
          <w:tcPr>
            <w:tcW w:w="9582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项目单位意见：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exact"/>
          <w:jc w:val="center"/>
        </w:trPr>
        <w:tc>
          <w:tcPr>
            <w:tcW w:w="9582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主管部门意见：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财政部门归口业务科室意见：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eastAsia="仿宋_GB2312" w:cs="仿宋_GB2312"/>
          <w:bCs/>
          <w:sz w:val="24"/>
          <w:szCs w:val="24"/>
        </w:rPr>
      </w:pPr>
      <w:r>
        <w:rPr>
          <w:rFonts w:hint="eastAsia" w:eastAsia="仿宋_GB2312" w:cs="仿宋_GB2312"/>
          <w:bCs/>
          <w:sz w:val="24"/>
          <w:szCs w:val="24"/>
        </w:rPr>
        <w:t>填报人（签名）：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562" w:firstLineChars="200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岳阳市住房保障服务中心非税收入执收成本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评价报告综述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项目基本概况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中心下属公共租赁房屋运营服务中心、直管公房运营服务中心为正科级差额拨款事业单位，共有编制116人，实有101人，退休60人。主要负责如果负责市本级保障房的管理、维护。主要经费来源为保障房租金返还（即非税收入执收成本）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项目资金使用及管理情况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项目资金情况分析：2019年度非税收入执收成本财政预算指标额为1110万元，其中根据岳市财预[2019]1号《岳阳市财政局关于批复2019年市本级部门预算通知》核定指标为1110万元；我中心实际收到下拨金额为1110万元，具体列示如下表</w:t>
            </w:r>
          </w:p>
          <w:tbl>
            <w:tblPr>
              <w:tblStyle w:val="4"/>
              <w:tblW w:w="91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0"/>
              <w:gridCol w:w="1635"/>
              <w:gridCol w:w="2026"/>
              <w:gridCol w:w="1831"/>
              <w:gridCol w:w="18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文 件 号</w:t>
                  </w:r>
                </w:p>
              </w:tc>
              <w:tc>
                <w:tcPr>
                  <w:tcW w:w="163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发 文 日 期</w:t>
                  </w:r>
                </w:p>
              </w:tc>
              <w:tc>
                <w:tcPr>
                  <w:tcW w:w="202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摘   要</w:t>
                  </w:r>
                </w:p>
              </w:tc>
              <w:tc>
                <w:tcPr>
                  <w:tcW w:w="183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指 标 金 额（万元）</w:t>
                  </w:r>
                </w:p>
              </w:tc>
              <w:tc>
                <w:tcPr>
                  <w:tcW w:w="183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拨 款 金 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岳市财预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[2019]1号</w:t>
                  </w:r>
                </w:p>
              </w:tc>
              <w:tc>
                <w:tcPr>
                  <w:tcW w:w="163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2019-1-15</w:t>
                  </w:r>
                </w:p>
              </w:tc>
              <w:tc>
                <w:tcPr>
                  <w:tcW w:w="202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非税收入执收成本</w:t>
                  </w:r>
                </w:p>
              </w:tc>
              <w:tc>
                <w:tcPr>
                  <w:tcW w:w="183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1110</w:t>
                  </w:r>
                </w:p>
              </w:tc>
              <w:tc>
                <w:tcPr>
                  <w:tcW w:w="183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default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1110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1"/>
                <w:szCs w:val="21"/>
                <w:lang w:val="en-US" w:eastAsia="zh-CN"/>
              </w:rPr>
              <w:t>1.资金使用情况分析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2019年度我中心收到岳阳市财政局拨入非税收入执收成本1110万元，支付保障房管理维护经费1110万元，收支持平。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2019年非税收入执收成本支付汇总表</w:t>
            </w:r>
          </w:p>
          <w:tbl>
            <w:tblPr>
              <w:tblStyle w:val="4"/>
              <w:tblW w:w="91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93"/>
              <w:gridCol w:w="2830"/>
              <w:gridCol w:w="21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exact"/>
              </w:trPr>
              <w:tc>
                <w:tcPr>
                  <w:tcW w:w="4193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支付内容</w:t>
                  </w:r>
                </w:p>
              </w:tc>
              <w:tc>
                <w:tcPr>
                  <w:tcW w:w="2830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金额</w:t>
                  </w:r>
                </w:p>
              </w:tc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exact"/>
              </w:trPr>
              <w:tc>
                <w:tcPr>
                  <w:tcW w:w="419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lang w:val="en-US" w:eastAsia="zh-CN"/>
                    </w:rPr>
                    <w:t>工资福利费用</w:t>
                  </w:r>
                </w:p>
              </w:tc>
              <w:tc>
                <w:tcPr>
                  <w:tcW w:w="28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lang w:val="en-US" w:eastAsia="zh-CN"/>
                    </w:rPr>
                    <w:t>402.12</w:t>
                  </w:r>
                </w:p>
              </w:tc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sz w:val="21"/>
                      <w:szCs w:val="21"/>
                      <w:lang w:val="en-US" w:eastAsia="zh-CN"/>
                    </w:rPr>
                    <w:t>差额人员支出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exact"/>
              </w:trPr>
              <w:tc>
                <w:tcPr>
                  <w:tcW w:w="419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lang w:val="en-US" w:eastAsia="zh-CN"/>
                    </w:rPr>
                    <w:t>商品和服务费用</w:t>
                  </w:r>
                </w:p>
              </w:tc>
              <w:tc>
                <w:tcPr>
                  <w:tcW w:w="28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lang w:val="en-US" w:eastAsia="zh-CN"/>
                    </w:rPr>
                    <w:t>352.36</w:t>
                  </w:r>
                </w:p>
              </w:tc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sz w:val="21"/>
                      <w:szCs w:val="21"/>
                      <w:lang w:val="en-US" w:eastAsia="zh-CN"/>
                    </w:rPr>
                    <w:t>维修、物业管理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exact"/>
              </w:trPr>
              <w:tc>
                <w:tcPr>
                  <w:tcW w:w="419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lang w:val="en-US" w:eastAsia="zh-CN"/>
                    </w:rPr>
                    <w:t>退休人员支出</w:t>
                  </w:r>
                </w:p>
              </w:tc>
              <w:tc>
                <w:tcPr>
                  <w:tcW w:w="28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lang w:val="en-US" w:eastAsia="zh-CN"/>
                    </w:rPr>
                    <w:t>355.52</w:t>
                  </w:r>
                </w:p>
              </w:tc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sz w:val="21"/>
                      <w:szCs w:val="21"/>
                      <w:lang w:val="en-US" w:eastAsia="zh-CN"/>
                    </w:rPr>
                    <w:t xml:space="preserve">养老金缺口、费用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exact"/>
              </w:trPr>
              <w:tc>
                <w:tcPr>
                  <w:tcW w:w="4193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830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1110万元</w:t>
                  </w:r>
                </w:p>
              </w:tc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color="auto" w:fill="auto"/>
                    <w:spacing w:line="560" w:lineRule="exact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我中心负责非税收入执收成本的收付和使用，并记录专项款的使用情况。非税收入执收成本的拨付是按收取的保障房租金全额返还，列入财政预算。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非税收入执收成本当年财政预算资金实现了专款专用，专账管理的原则，由岳阳市财政国库集中支付局集中支付，最大程度上的避免了违规情况发生。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项目组织实施情况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1.项目组织情况：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中心负责公共租赁房屋的管理、维修、租金收取工作，协助实施公共租赁房屋危旧房的改造；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负责公共租赁房屋运营腾退管理；负责查处有关违法违规行为，协调处理运营管理过程中有关信访纠纷问题；承担实施公共租赁房屋的实物分配的具体工作；负责公共租赁房屋资产保值增值及安全管理工作；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2.项目管理情况：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①严格完善财务管理制度和内部审计制度。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②积极处理租金减免、欠缴、空置等问题。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③规范保障住房的日常管理。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④着力监管，房屋安全工作长抓不懈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综合评价情况及评价结论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根据考核评分细则，考评组认为，我单位2019年度非税收入执收成本由财政下拨专项资金，管理规范、项目管理到位、政策执行有力、有效发挥了财政资金的使用效率。保障了城区保障房的管理和维护，保障了9000多户中低收入家庭的居住安全。综合考评得分95分，等级为“优秀”，具体评分见附件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（五）、项目主要绩效情况分析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非税收入执收成本基本用于人员开支和保障房的维护、管理，2019年为节约成本无三公经费的开支。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、主要经验及做法、存在问题和建议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仿宋" w:hAnsi="仿宋" w:eastAsia="仿宋_GB2312" w:cs="新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加快单位信息化建设，将房源信息、房屋状况以及租金收缴及时更新。由于我中心部分房屋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分布在鄢家冲、茶巷子、观音阁、先锋路、韩家湾、城陵矶、金家岭、芋头田、太子庙、学坡、梅溪桥等旧城区，分布非常分散，房屋比较破旧，维修任务大。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物业管理分散，投入管理的成本比较大，经费比较紧张。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（七）附件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1.2019年度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非税执收成本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绩效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评价评分表（附件2）</w:t>
            </w:r>
          </w:p>
          <w:p>
            <w:pPr>
              <w:spacing w:before="187" w:beforeLines="60" w:after="187" w:afterLines="60" w:line="560" w:lineRule="exact"/>
              <w:jc w:val="both"/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" w:beforeLines="60" w:after="187" w:afterLines="60" w:line="40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  <w:lang w:val="en-US" w:eastAsia="zh-CN"/>
        </w:rPr>
      </w:pP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岳阳市住房保障服务中心非税执收成本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" w:beforeLines="60" w:after="187" w:afterLines="60" w:line="40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绩效评价指标体系</w:t>
      </w:r>
    </w:p>
    <w:tbl>
      <w:tblPr>
        <w:tblStyle w:val="4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95</w:t>
            </w:r>
          </w:p>
        </w:tc>
      </w:tr>
    </w:tbl>
    <w:p>
      <w:pPr>
        <w:adjustRightInd w:val="0"/>
        <w:snapToGrid w:val="0"/>
        <w:spacing w:before="156" w:beforeLines="50" w:line="200" w:lineRule="exact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eastAsia="仿宋_GB2312"/>
          <w:sz w:val="32"/>
        </w:rPr>
      </w:pP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eastAsia="仿宋_GB2312"/>
          <w:sz w:val="32"/>
        </w:rPr>
      </w:pP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eastAsia="仿宋_GB2312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7C972"/>
    <w:multiLevelType w:val="singleLevel"/>
    <w:tmpl w:val="A107C9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9C0275"/>
    <w:multiLevelType w:val="singleLevel"/>
    <w:tmpl w:val="F29C02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CC5F241"/>
    <w:multiLevelType w:val="singleLevel"/>
    <w:tmpl w:val="2CC5F24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56F0"/>
    <w:rsid w:val="002B5D92"/>
    <w:rsid w:val="0A5748A1"/>
    <w:rsid w:val="0C4E5CEB"/>
    <w:rsid w:val="0D76296C"/>
    <w:rsid w:val="0F960FBE"/>
    <w:rsid w:val="112C7E4C"/>
    <w:rsid w:val="120F1BDE"/>
    <w:rsid w:val="14426BE4"/>
    <w:rsid w:val="15327D5B"/>
    <w:rsid w:val="1796020C"/>
    <w:rsid w:val="18CF296B"/>
    <w:rsid w:val="1ACA4B06"/>
    <w:rsid w:val="1FF612EF"/>
    <w:rsid w:val="20905E61"/>
    <w:rsid w:val="23DA147D"/>
    <w:rsid w:val="240E7C09"/>
    <w:rsid w:val="24944A7E"/>
    <w:rsid w:val="329139D2"/>
    <w:rsid w:val="37B674A4"/>
    <w:rsid w:val="3BED2797"/>
    <w:rsid w:val="408D630D"/>
    <w:rsid w:val="41EF543F"/>
    <w:rsid w:val="44583E96"/>
    <w:rsid w:val="48D8381C"/>
    <w:rsid w:val="4D822CE2"/>
    <w:rsid w:val="52F846D7"/>
    <w:rsid w:val="562B1490"/>
    <w:rsid w:val="57870766"/>
    <w:rsid w:val="5B6B5191"/>
    <w:rsid w:val="5BEA67B0"/>
    <w:rsid w:val="5C4256F0"/>
    <w:rsid w:val="6AD32E16"/>
    <w:rsid w:val="71F23AAB"/>
    <w:rsid w:val="787633F1"/>
    <w:rsid w:val="78D75BEE"/>
    <w:rsid w:val="7DFA0CA4"/>
    <w:rsid w:val="7E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2020-05-28T01:45:00Z</dcterms:created>
  <dc:creator>刘美芝</dc:creator>
  <cp:lastModifiedBy>刘美芝</cp:lastModifiedBy>
  <cp:lastPrinted>2020-06-15T06:35:00Z</cp:lastPrinted>
  <dcterms:modified xsi:type="dcterms:W3CDTF">2020-06-19T00:19:37Z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