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8" w:lineRule="auto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348" w:lineRule="auto"/>
        <w:rPr>
          <w:rFonts w:hint="eastAsia" w:eastAsia="黑体" w:cs="黑体"/>
          <w:bCs/>
          <w:sz w:val="32"/>
          <w:szCs w:val="32"/>
        </w:rPr>
      </w:pPr>
      <w:bookmarkStart w:id="0" w:name="_GoBack"/>
      <w:bookmarkEnd w:id="0"/>
    </w:p>
    <w:p>
      <w:pPr>
        <w:spacing w:before="156" w:beforeLines="50" w:line="348" w:lineRule="auto"/>
        <w:jc w:val="center"/>
        <w:rPr>
          <w:rFonts w:hint="eastAsia"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岳阳市财政支出绩效评价自评报告</w:t>
      </w:r>
    </w:p>
    <w:p>
      <w:pPr>
        <w:rPr>
          <w:rFonts w:hint="eastAsia" w:eastAsia="仿宋_GB2312"/>
          <w:b/>
          <w:sz w:val="32"/>
        </w:rPr>
      </w:pPr>
    </w:p>
    <w:p>
      <w:pPr>
        <w:rPr>
          <w:rFonts w:hint="eastAsia" w:eastAsia="仿宋_GB2312"/>
          <w:b/>
          <w:sz w:val="32"/>
        </w:rPr>
      </w:pPr>
    </w:p>
    <w:p>
      <w:pPr>
        <w:spacing w:line="760" w:lineRule="exact"/>
        <w:ind w:firstLine="320" w:firstLineChars="1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评价类型：项目实施过程评价□   项目完成结果评价</w:t>
      </w:r>
      <w:r>
        <w:rPr>
          <w:rFonts w:hint="eastAsia" w:eastAsia="仿宋_GB2312"/>
          <w:sz w:val="32"/>
          <w:szCs w:val="32"/>
        </w:rPr>
        <w:sym w:font="Wingdings 2" w:char="0052"/>
      </w:r>
    </w:p>
    <w:p>
      <w:pPr>
        <w:spacing w:before="156" w:beforeLines="50" w:line="760" w:lineRule="exact"/>
        <w:ind w:firstLine="320" w:firstLineChars="100"/>
        <w:rPr>
          <w:rFonts w:hint="eastAsia" w:eastAsia="仿宋_GB2312"/>
          <w:sz w:val="32"/>
          <w:u w:val="single"/>
        </w:rPr>
      </w:pPr>
      <w:r>
        <w:rPr>
          <w:rFonts w:hint="eastAsia" w:eastAsia="仿宋_GB2312"/>
          <w:sz w:val="32"/>
        </w:rPr>
        <w:t>项目名称：</w:t>
      </w:r>
      <w:r>
        <w:rPr>
          <w:rFonts w:hint="eastAsia" w:eastAsia="仿宋_GB2312"/>
          <w:sz w:val="32"/>
          <w:u w:val="single"/>
          <w:lang w:val="en-US" w:eastAsia="zh-CN"/>
        </w:rPr>
        <w:t>非税收入执收成本</w:t>
      </w:r>
      <w:r>
        <w:rPr>
          <w:rFonts w:hint="eastAsia" w:eastAsia="仿宋_GB2312"/>
          <w:sz w:val="32"/>
          <w:u w:val="single"/>
        </w:rPr>
        <w:t xml:space="preserve">                </w:t>
      </w:r>
    </w:p>
    <w:p>
      <w:pPr>
        <w:spacing w:before="156" w:beforeLines="50" w:line="760" w:lineRule="exact"/>
        <w:ind w:firstLine="320" w:firstLineChars="100"/>
        <w:jc w:val="left"/>
        <w:rPr>
          <w:rFonts w:hint="eastAsia" w:eastAsia="仿宋_GB2312"/>
          <w:sz w:val="32"/>
          <w:u w:val="single"/>
          <w:lang w:val="en-US" w:eastAsia="zh-CN"/>
        </w:rPr>
      </w:pPr>
      <w:r>
        <w:rPr>
          <w:rFonts w:hint="eastAsia" w:eastAsia="仿宋_GB2312"/>
          <w:sz w:val="32"/>
        </w:rPr>
        <w:t>项目单位：</w:t>
      </w:r>
      <w:r>
        <w:rPr>
          <w:rFonts w:hint="eastAsia" w:eastAsia="仿宋_GB2312"/>
          <w:sz w:val="32"/>
          <w:u w:val="single"/>
          <w:lang w:val="en-US" w:eastAsia="zh-CN"/>
        </w:rPr>
        <w:t>岳阳市公共租赁房屋运营服务中心、</w:t>
      </w:r>
    </w:p>
    <w:p>
      <w:pPr>
        <w:spacing w:before="156" w:beforeLines="50" w:line="760" w:lineRule="exact"/>
        <w:ind w:firstLine="1920" w:firstLineChars="600"/>
        <w:jc w:val="left"/>
        <w:rPr>
          <w:rFonts w:hint="default" w:eastAsia="仿宋_GB2312"/>
          <w:sz w:val="32"/>
          <w:lang w:val="en-US"/>
        </w:rPr>
      </w:pPr>
      <w:r>
        <w:rPr>
          <w:rFonts w:hint="eastAsia" w:eastAsia="仿宋_GB2312"/>
          <w:sz w:val="32"/>
          <w:u w:val="single"/>
          <w:lang w:val="en-US" w:eastAsia="zh-CN"/>
        </w:rPr>
        <w:t xml:space="preserve">岳阳市直管公房运营服务中心      </w:t>
      </w:r>
    </w:p>
    <w:p>
      <w:pPr>
        <w:spacing w:before="156" w:beforeLines="50" w:line="760" w:lineRule="exact"/>
        <w:ind w:firstLine="480" w:firstLineChars="150"/>
        <w:rPr>
          <w:rFonts w:hint="eastAsia" w:eastAsia="仿宋_GB2312"/>
          <w:sz w:val="32"/>
          <w:u w:val="single"/>
        </w:rPr>
      </w:pPr>
      <w:r>
        <w:rPr>
          <w:rFonts w:hint="eastAsia" w:eastAsia="仿宋_GB2312"/>
          <w:sz w:val="32"/>
        </w:rPr>
        <w:t>主管部门：</w:t>
      </w:r>
      <w:r>
        <w:rPr>
          <w:rFonts w:hint="eastAsia" w:eastAsia="仿宋_GB2312"/>
          <w:sz w:val="32"/>
          <w:u w:val="single"/>
          <w:lang w:val="en-US" w:eastAsia="zh-CN"/>
        </w:rPr>
        <w:t>岳阳市住房保障服务中心</w:t>
      </w:r>
      <w:r>
        <w:rPr>
          <w:rFonts w:hint="eastAsia" w:eastAsia="仿宋_GB2312"/>
          <w:sz w:val="32"/>
          <w:u w:val="single"/>
        </w:rPr>
        <w:t xml:space="preserve">         </w:t>
      </w:r>
    </w:p>
    <w:p>
      <w:pPr>
        <w:spacing w:before="156" w:beforeLines="50" w:line="760" w:lineRule="exact"/>
        <w:ind w:firstLine="480" w:firstLineChars="15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评价方式：单位绩效自评</w:t>
      </w:r>
    </w:p>
    <w:p>
      <w:pPr>
        <w:spacing w:before="156" w:beforeLines="50" w:line="760" w:lineRule="exact"/>
        <w:ind w:firstLine="480" w:firstLineChars="15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评价机构：单位评价组   </w:t>
      </w:r>
    </w:p>
    <w:p>
      <w:pPr>
        <w:spacing w:before="156" w:beforeLines="50" w:line="760" w:lineRule="exact"/>
        <w:ind w:firstLine="420" w:firstLineChars="150"/>
        <w:rPr>
          <w:rFonts w:hint="eastAsia" w:eastAsia="仿宋_GB2312"/>
          <w:sz w:val="28"/>
          <w:szCs w:val="28"/>
        </w:rPr>
      </w:pPr>
    </w:p>
    <w:p>
      <w:pPr>
        <w:spacing w:before="156" w:beforeLines="50" w:line="348" w:lineRule="auto"/>
        <w:ind w:firstLine="420" w:firstLineChars="150"/>
        <w:rPr>
          <w:rFonts w:hint="eastAsia" w:eastAsia="仿宋_GB2312"/>
          <w:sz w:val="28"/>
          <w:szCs w:val="28"/>
        </w:rPr>
      </w:pPr>
    </w:p>
    <w:p>
      <w:pPr>
        <w:spacing w:before="156" w:beforeLines="50" w:line="348" w:lineRule="auto"/>
        <w:ind w:firstLine="420" w:firstLineChars="150"/>
        <w:rPr>
          <w:rFonts w:hint="eastAsia" w:eastAsia="仿宋_GB2312"/>
          <w:sz w:val="28"/>
          <w:szCs w:val="28"/>
        </w:rPr>
      </w:pPr>
    </w:p>
    <w:p>
      <w:pPr>
        <w:spacing w:before="156" w:beforeLines="50" w:line="120" w:lineRule="exact"/>
        <w:ind w:firstLine="420" w:firstLineChars="150"/>
        <w:rPr>
          <w:rFonts w:hint="eastAsia" w:eastAsia="仿宋_GB2312"/>
          <w:sz w:val="28"/>
          <w:szCs w:val="28"/>
        </w:rPr>
      </w:pPr>
    </w:p>
    <w:p>
      <w:pPr>
        <w:spacing w:before="156" w:beforeLines="50" w:line="120" w:lineRule="exact"/>
        <w:ind w:firstLine="420" w:firstLineChars="150"/>
        <w:rPr>
          <w:rFonts w:hint="eastAsia" w:eastAsia="仿宋_GB2312"/>
          <w:sz w:val="28"/>
          <w:szCs w:val="28"/>
        </w:rPr>
      </w:pPr>
    </w:p>
    <w:p>
      <w:pPr>
        <w:spacing w:before="156" w:beforeLines="50" w:line="120" w:lineRule="exact"/>
        <w:ind w:firstLine="420" w:firstLineChars="150"/>
        <w:rPr>
          <w:rFonts w:hint="eastAsia" w:eastAsia="仿宋_GB2312"/>
          <w:sz w:val="28"/>
          <w:szCs w:val="28"/>
        </w:rPr>
      </w:pPr>
    </w:p>
    <w:p>
      <w:pPr>
        <w:spacing w:line="348" w:lineRule="auto"/>
        <w:jc w:val="center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 xml:space="preserve">报告日期： </w:t>
      </w:r>
      <w:r>
        <w:rPr>
          <w:rFonts w:hint="eastAsia" w:eastAsia="仿宋_GB2312"/>
          <w:sz w:val="32"/>
          <w:lang w:val="en-US" w:eastAsia="zh-CN"/>
        </w:rPr>
        <w:t>2020</w:t>
      </w:r>
      <w:r>
        <w:rPr>
          <w:rFonts w:hint="eastAsia" w:eastAsia="仿宋_GB2312"/>
          <w:sz w:val="32"/>
        </w:rPr>
        <w:t xml:space="preserve"> 年 </w:t>
      </w:r>
      <w:r>
        <w:rPr>
          <w:rFonts w:hint="eastAsia" w:eastAsia="仿宋_GB2312"/>
          <w:sz w:val="32"/>
          <w:lang w:val="en-US" w:eastAsia="zh-CN"/>
        </w:rPr>
        <w:t>6</w:t>
      </w:r>
      <w:r>
        <w:rPr>
          <w:rFonts w:hint="eastAsia" w:eastAsia="仿宋_GB2312"/>
          <w:sz w:val="32"/>
        </w:rPr>
        <w:t xml:space="preserve"> 月 </w:t>
      </w:r>
      <w:r>
        <w:rPr>
          <w:rFonts w:hint="eastAsia" w:eastAsia="仿宋_GB2312"/>
          <w:sz w:val="32"/>
          <w:lang w:val="en-US" w:eastAsia="zh-CN"/>
        </w:rPr>
        <w:t>5</w:t>
      </w:r>
      <w:r>
        <w:rPr>
          <w:rFonts w:hint="eastAsia" w:eastAsia="仿宋_GB2312"/>
          <w:sz w:val="32"/>
        </w:rPr>
        <w:t>日</w:t>
      </w:r>
    </w:p>
    <w:p>
      <w:pPr>
        <w:spacing w:line="348" w:lineRule="auto"/>
        <w:jc w:val="center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岳阳市财政局（制）</w:t>
      </w:r>
    </w:p>
    <w:p>
      <w:pPr>
        <w:spacing w:line="100" w:lineRule="exact"/>
        <w:jc w:val="both"/>
        <w:rPr>
          <w:rFonts w:hint="eastAsia" w:eastAsia="仿宋_GB2312"/>
          <w:sz w:val="32"/>
        </w:rPr>
      </w:pPr>
    </w:p>
    <w:p>
      <w:pPr>
        <w:spacing w:line="100" w:lineRule="exact"/>
        <w:jc w:val="both"/>
        <w:rPr>
          <w:rFonts w:hint="eastAsia" w:eastAsia="仿宋_GB2312"/>
          <w:sz w:val="32"/>
        </w:rPr>
      </w:pPr>
    </w:p>
    <w:p>
      <w:pPr>
        <w:spacing w:line="100" w:lineRule="exact"/>
        <w:jc w:val="center"/>
        <w:rPr>
          <w:rFonts w:hint="eastAsia" w:eastAsia="仿宋_GB2312"/>
          <w:sz w:val="32"/>
        </w:rPr>
      </w:pPr>
    </w:p>
    <w:p>
      <w:pPr>
        <w:spacing w:line="100" w:lineRule="exact"/>
        <w:jc w:val="center"/>
        <w:rPr>
          <w:rFonts w:hint="eastAsia" w:eastAsia="仿宋_GB2312"/>
          <w:sz w:val="32"/>
        </w:rPr>
      </w:pPr>
    </w:p>
    <w:p>
      <w:pPr>
        <w:spacing w:line="100" w:lineRule="exact"/>
        <w:jc w:val="both"/>
        <w:rPr>
          <w:rFonts w:hint="eastAsia" w:eastAsia="仿宋_GB2312"/>
          <w:sz w:val="32"/>
        </w:rPr>
      </w:pPr>
    </w:p>
    <w:tbl>
      <w:tblPr>
        <w:tblStyle w:val="4"/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189"/>
        <w:gridCol w:w="602"/>
        <w:gridCol w:w="118"/>
        <w:gridCol w:w="1579"/>
        <w:gridCol w:w="221"/>
        <w:gridCol w:w="414"/>
        <w:gridCol w:w="306"/>
        <w:gridCol w:w="638"/>
        <w:gridCol w:w="709"/>
        <w:gridCol w:w="322"/>
        <w:gridCol w:w="695"/>
        <w:gridCol w:w="1620"/>
        <w:gridCol w:w="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9582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一、项 目 基 本 概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项目负责人</w:t>
            </w:r>
          </w:p>
        </w:tc>
        <w:tc>
          <w:tcPr>
            <w:tcW w:w="3240" w:type="dxa"/>
            <w:gridSpan w:val="6"/>
            <w:noWrap w:val="0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欧宏绘、孙志诚</w:t>
            </w: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3333" w:type="dxa"/>
            <w:gridSpan w:val="4"/>
            <w:noWrap w:val="0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18807305988、13762088999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项目地址</w:t>
            </w:r>
          </w:p>
        </w:tc>
        <w:tc>
          <w:tcPr>
            <w:tcW w:w="3240" w:type="dxa"/>
            <w:gridSpan w:val="6"/>
            <w:noWrap w:val="0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南湖大道315号</w:t>
            </w: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邮  编</w:t>
            </w:r>
          </w:p>
        </w:tc>
        <w:tc>
          <w:tcPr>
            <w:tcW w:w="3333" w:type="dxa"/>
            <w:gridSpan w:val="4"/>
            <w:noWrap w:val="0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414000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项目起止时间</w:t>
            </w:r>
          </w:p>
        </w:tc>
        <w:tc>
          <w:tcPr>
            <w:tcW w:w="7920" w:type="dxa"/>
            <w:gridSpan w:val="12"/>
            <w:noWrap w:val="0"/>
            <w:vAlign w:val="center"/>
          </w:tcPr>
          <w:p>
            <w:pPr>
              <w:ind w:firstLine="1190" w:firstLineChars="496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2019</w:t>
            </w:r>
            <w:r>
              <w:rPr>
                <w:rFonts w:hint="eastAsia" w:eastAsia="仿宋_GB2312"/>
                <w:sz w:val="24"/>
              </w:rPr>
              <w:t xml:space="preserve">年     </w:t>
            </w:r>
            <w:r>
              <w:rPr>
                <w:rFonts w:hint="eastAsia" w:eastAsia="仿宋_GB2312"/>
                <w:sz w:val="24"/>
                <w:lang w:val="en-US" w:eastAsia="zh-CN"/>
              </w:rPr>
              <w:t>1</w:t>
            </w:r>
            <w:r>
              <w:rPr>
                <w:rFonts w:hint="eastAsia" w:eastAsia="仿宋_GB2312"/>
                <w:sz w:val="24"/>
              </w:rPr>
              <w:t xml:space="preserve">  月起至      </w:t>
            </w:r>
            <w:r>
              <w:rPr>
                <w:rFonts w:hint="eastAsia" w:eastAsia="仿宋_GB2312"/>
                <w:sz w:val="24"/>
                <w:lang w:val="en-US" w:eastAsia="zh-CN"/>
              </w:rPr>
              <w:t>2019</w:t>
            </w:r>
            <w:r>
              <w:rPr>
                <w:rFonts w:hint="eastAsia" w:eastAsia="仿宋_GB2312"/>
                <w:sz w:val="24"/>
              </w:rPr>
              <w:t xml:space="preserve">    年    </w:t>
            </w:r>
            <w:r>
              <w:rPr>
                <w:rFonts w:hint="eastAsia" w:eastAsia="仿宋_GB2312"/>
                <w:sz w:val="24"/>
                <w:lang w:val="en-US" w:eastAsia="zh-CN"/>
              </w:rPr>
              <w:t>12</w:t>
            </w:r>
            <w:r>
              <w:rPr>
                <w:rFonts w:hint="eastAsia" w:eastAsia="仿宋_GB2312"/>
                <w:sz w:val="24"/>
              </w:rPr>
              <w:t xml:space="preserve">  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计划安排资金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1"/>
                <w:lang w:val="en-US" w:eastAsia="zh-CN"/>
              </w:rPr>
              <w:t>1110</w:t>
            </w:r>
          </w:p>
        </w:tc>
        <w:tc>
          <w:tcPr>
            <w:tcW w:w="18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实际到位资金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sz w:val="21"/>
                <w:szCs w:val="21"/>
                <w:lang w:val="en-US" w:eastAsia="zh-CN"/>
              </w:rPr>
              <w:t>1110</w:t>
            </w:r>
          </w:p>
        </w:tc>
        <w:tc>
          <w:tcPr>
            <w:tcW w:w="166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实际支出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69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1110</w:t>
            </w:r>
          </w:p>
        </w:tc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结余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b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其中：中央财政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pacing w:val="-6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pacing w:val="-6"/>
                <w:sz w:val="24"/>
              </w:rPr>
            </w:pPr>
            <w:r>
              <w:rPr>
                <w:rFonts w:hint="eastAsia" w:eastAsia="仿宋_GB2312"/>
                <w:spacing w:val="-6"/>
                <w:sz w:val="24"/>
              </w:rPr>
              <w:t>其中：中央财政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b w:val="0"/>
                <w:bCs w:val="0"/>
                <w:spacing w:val="-6"/>
                <w:sz w:val="21"/>
                <w:szCs w:val="21"/>
              </w:rPr>
            </w:pPr>
          </w:p>
        </w:tc>
        <w:tc>
          <w:tcPr>
            <w:tcW w:w="166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pacing w:val="-16"/>
                <w:sz w:val="24"/>
              </w:rPr>
            </w:pPr>
            <w:r>
              <w:rPr>
                <w:rFonts w:hint="eastAsia" w:eastAsia="仿宋_GB2312"/>
                <w:spacing w:val="-16"/>
                <w:sz w:val="24"/>
              </w:rPr>
              <w:t>其中：中央财政</w:t>
            </w:r>
          </w:p>
        </w:tc>
        <w:tc>
          <w:tcPr>
            <w:tcW w:w="69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pacing w:val="-6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pacing w:val="-16"/>
                <w:sz w:val="24"/>
              </w:rPr>
            </w:pPr>
            <w:r>
              <w:rPr>
                <w:rFonts w:hint="eastAsia" w:eastAsia="仿宋_GB2312"/>
                <w:spacing w:val="-16"/>
                <w:sz w:val="24"/>
              </w:rPr>
              <w:t>其中：中央财政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6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69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1"/>
                <w:lang w:val="en-US" w:eastAsia="zh-CN"/>
              </w:rPr>
              <w:t>1110</w:t>
            </w:r>
          </w:p>
        </w:tc>
        <w:tc>
          <w:tcPr>
            <w:tcW w:w="18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sz w:val="21"/>
                <w:szCs w:val="21"/>
                <w:lang w:val="en-US" w:eastAsia="zh-CN"/>
              </w:rPr>
              <w:t>1110</w:t>
            </w:r>
          </w:p>
        </w:tc>
        <w:tc>
          <w:tcPr>
            <w:tcW w:w="166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69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1110</w:t>
            </w:r>
          </w:p>
        </w:tc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b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66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69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66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69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二、项目支出明细情况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支出内容</w:t>
            </w:r>
          </w:p>
        </w:tc>
        <w:tc>
          <w:tcPr>
            <w:tcW w:w="15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实际支出数</w:t>
            </w:r>
          </w:p>
        </w:tc>
        <w:tc>
          <w:tcPr>
            <w:tcW w:w="261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会计凭证号</w:t>
            </w:r>
          </w:p>
        </w:tc>
        <w:tc>
          <w:tcPr>
            <w:tcW w:w="301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工资福利费用</w:t>
            </w:r>
          </w:p>
        </w:tc>
        <w:tc>
          <w:tcPr>
            <w:tcW w:w="15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402.12</w:t>
            </w:r>
          </w:p>
        </w:tc>
        <w:tc>
          <w:tcPr>
            <w:tcW w:w="261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01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差额人员支出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商品和服务费用</w:t>
            </w:r>
          </w:p>
        </w:tc>
        <w:tc>
          <w:tcPr>
            <w:tcW w:w="15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352.36</w:t>
            </w:r>
          </w:p>
        </w:tc>
        <w:tc>
          <w:tcPr>
            <w:tcW w:w="261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01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维修、物业管理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退休人员支出</w:t>
            </w:r>
          </w:p>
        </w:tc>
        <w:tc>
          <w:tcPr>
            <w:tcW w:w="15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355.52</w:t>
            </w:r>
          </w:p>
        </w:tc>
        <w:tc>
          <w:tcPr>
            <w:tcW w:w="261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01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养老金缺口、费用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61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01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61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01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</w:p>
        </w:tc>
        <w:tc>
          <w:tcPr>
            <w:tcW w:w="261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01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sz w:val="24"/>
              </w:rPr>
              <w:t>支出合计</w:t>
            </w:r>
          </w:p>
        </w:tc>
        <w:tc>
          <w:tcPr>
            <w:tcW w:w="15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b/>
                <w:sz w:val="24"/>
                <w:lang w:val="en-US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1110</w:t>
            </w:r>
          </w:p>
        </w:tc>
        <w:tc>
          <w:tcPr>
            <w:tcW w:w="261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  <w:tc>
          <w:tcPr>
            <w:tcW w:w="301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exac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三、项目绩效自评情况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项目绩效定性目标及实施计划完成情况</w:t>
            </w:r>
          </w:p>
        </w:tc>
        <w:tc>
          <w:tcPr>
            <w:tcW w:w="5098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预  期 目 标</w:t>
            </w:r>
          </w:p>
        </w:tc>
        <w:tc>
          <w:tcPr>
            <w:tcW w:w="301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  <w:jc w:val="center"/>
        </w:trPr>
        <w:tc>
          <w:tcPr>
            <w:tcW w:w="147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  <w:tc>
          <w:tcPr>
            <w:tcW w:w="5098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1.完成租金1110万元</w:t>
            </w:r>
          </w:p>
          <w:p>
            <w:pPr>
              <w:numPr>
                <w:ilvl w:val="0"/>
                <w:numId w:val="0"/>
              </w:numPr>
              <w:autoSpaceDN w:val="0"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2.完成1470户住房住房入户分配</w:t>
            </w:r>
          </w:p>
          <w:p>
            <w:pPr>
              <w:numPr>
                <w:ilvl w:val="0"/>
                <w:numId w:val="0"/>
              </w:numPr>
              <w:autoSpaceDN w:val="0"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3.完成麿子山、枫桥湖和斗蓬山拆迁，启动G240拆迁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eastAsia="仿宋_GB2312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4.完成400多户公房维修，每个单位配备消防栓</w:t>
            </w:r>
          </w:p>
        </w:tc>
        <w:tc>
          <w:tcPr>
            <w:tcW w:w="301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eastAsia="仿宋_GB2312"/>
                <w:b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2019年已完成预期目标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  <w:jc w:val="center"/>
        </w:trPr>
        <w:tc>
          <w:tcPr>
            <w:tcW w:w="147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项目绩效定量目标（指标）及完成情况</w:t>
            </w:r>
          </w:p>
        </w:tc>
        <w:tc>
          <w:tcPr>
            <w:tcW w:w="9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一级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指标</w:t>
            </w:r>
          </w:p>
        </w:tc>
        <w:tc>
          <w:tcPr>
            <w:tcW w:w="15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二级指标</w:t>
            </w:r>
          </w:p>
        </w:tc>
        <w:tc>
          <w:tcPr>
            <w:tcW w:w="157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指标内容</w:t>
            </w:r>
          </w:p>
        </w:tc>
        <w:tc>
          <w:tcPr>
            <w:tcW w:w="103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指标（目标）值</w:t>
            </w:r>
          </w:p>
        </w:tc>
        <w:tc>
          <w:tcPr>
            <w:tcW w:w="301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实际完成值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09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项目产出指标</w:t>
            </w:r>
          </w:p>
        </w:tc>
        <w:tc>
          <w:tcPr>
            <w:tcW w:w="157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数量指标</w:t>
            </w:r>
          </w:p>
        </w:tc>
        <w:tc>
          <w:tcPr>
            <w:tcW w:w="157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1.按时足额收取租金</w:t>
            </w:r>
          </w:p>
        </w:tc>
        <w:tc>
          <w:tcPr>
            <w:tcW w:w="103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1110</w:t>
            </w:r>
          </w:p>
        </w:tc>
        <w:tc>
          <w:tcPr>
            <w:tcW w:w="301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7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2.公房及时维修</w:t>
            </w:r>
          </w:p>
        </w:tc>
        <w:tc>
          <w:tcPr>
            <w:tcW w:w="103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97%</w:t>
            </w:r>
          </w:p>
        </w:tc>
        <w:tc>
          <w:tcPr>
            <w:tcW w:w="301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完成97%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7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质量指标</w:t>
            </w:r>
          </w:p>
        </w:tc>
        <w:tc>
          <w:tcPr>
            <w:tcW w:w="157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1.租金收入完成率</w:t>
            </w:r>
          </w:p>
        </w:tc>
        <w:tc>
          <w:tcPr>
            <w:tcW w:w="103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301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7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2.房屋居住安全</w:t>
            </w:r>
          </w:p>
        </w:tc>
        <w:tc>
          <w:tcPr>
            <w:tcW w:w="103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301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时效指标</w:t>
            </w:r>
          </w:p>
        </w:tc>
        <w:tc>
          <w:tcPr>
            <w:tcW w:w="157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项目周期</w:t>
            </w:r>
          </w:p>
        </w:tc>
        <w:tc>
          <w:tcPr>
            <w:tcW w:w="103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2019年</w:t>
            </w:r>
          </w:p>
        </w:tc>
        <w:tc>
          <w:tcPr>
            <w:tcW w:w="301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2019年1月-12月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成本指标</w:t>
            </w:r>
          </w:p>
        </w:tc>
        <w:tc>
          <w:tcPr>
            <w:tcW w:w="157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年度控制预算</w:t>
            </w:r>
          </w:p>
        </w:tc>
        <w:tc>
          <w:tcPr>
            <w:tcW w:w="103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1110</w:t>
            </w:r>
          </w:p>
        </w:tc>
        <w:tc>
          <w:tcPr>
            <w:tcW w:w="301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09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项目效益指标</w:t>
            </w:r>
          </w:p>
        </w:tc>
        <w:tc>
          <w:tcPr>
            <w:tcW w:w="15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经济效益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指标</w:t>
            </w:r>
          </w:p>
        </w:tc>
        <w:tc>
          <w:tcPr>
            <w:tcW w:w="157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完成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租金收缴</w:t>
            </w:r>
          </w:p>
        </w:tc>
        <w:tc>
          <w:tcPr>
            <w:tcW w:w="103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1110</w:t>
            </w:r>
          </w:p>
        </w:tc>
        <w:tc>
          <w:tcPr>
            <w:tcW w:w="301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超额完成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社会效益指标</w:t>
            </w:r>
          </w:p>
        </w:tc>
        <w:tc>
          <w:tcPr>
            <w:tcW w:w="157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保障低收入家庭居住安全</w:t>
            </w:r>
          </w:p>
        </w:tc>
        <w:tc>
          <w:tcPr>
            <w:tcW w:w="103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9734户</w:t>
            </w:r>
          </w:p>
        </w:tc>
        <w:tc>
          <w:tcPr>
            <w:tcW w:w="301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生态效益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指标</w:t>
            </w:r>
          </w:p>
        </w:tc>
        <w:tc>
          <w:tcPr>
            <w:tcW w:w="157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改善社区环境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、改善老旧城区面貌</w:t>
            </w:r>
          </w:p>
        </w:tc>
        <w:tc>
          <w:tcPr>
            <w:tcW w:w="103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94%</w:t>
            </w:r>
          </w:p>
        </w:tc>
        <w:tc>
          <w:tcPr>
            <w:tcW w:w="301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94%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服务对象满意度指标</w:t>
            </w:r>
          </w:p>
        </w:tc>
        <w:tc>
          <w:tcPr>
            <w:tcW w:w="157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获租住人群</w:t>
            </w:r>
          </w:p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满意度</w:t>
            </w:r>
          </w:p>
        </w:tc>
        <w:tc>
          <w:tcPr>
            <w:tcW w:w="103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95%</w:t>
            </w:r>
          </w:p>
        </w:tc>
        <w:tc>
          <w:tcPr>
            <w:tcW w:w="301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绩效自评综合得分</w:t>
            </w:r>
          </w:p>
        </w:tc>
        <w:tc>
          <w:tcPr>
            <w:tcW w:w="7200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评价等次</w:t>
            </w:r>
          </w:p>
        </w:tc>
        <w:tc>
          <w:tcPr>
            <w:tcW w:w="7200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9582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四、评价人员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姓名</w:t>
            </w:r>
          </w:p>
        </w:tc>
        <w:tc>
          <w:tcPr>
            <w:tcW w:w="233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职称/职务</w:t>
            </w:r>
          </w:p>
        </w:tc>
        <w:tc>
          <w:tcPr>
            <w:tcW w:w="19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单  位</w:t>
            </w:r>
          </w:p>
        </w:tc>
        <w:tc>
          <w:tcPr>
            <w:tcW w:w="30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樊卫</w:t>
            </w:r>
          </w:p>
        </w:tc>
        <w:tc>
          <w:tcPr>
            <w:tcW w:w="2332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中心党组书记、主任</w:t>
            </w:r>
          </w:p>
        </w:tc>
        <w:tc>
          <w:tcPr>
            <w:tcW w:w="1975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住保中心</w:t>
            </w:r>
          </w:p>
        </w:tc>
        <w:tc>
          <w:tcPr>
            <w:tcW w:w="3011" w:type="dxa"/>
            <w:gridSpan w:val="3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2264" w:type="dxa"/>
            <w:gridSpan w:val="3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伍丽</w:t>
            </w:r>
          </w:p>
        </w:tc>
        <w:tc>
          <w:tcPr>
            <w:tcW w:w="2332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副主任</w:t>
            </w:r>
          </w:p>
        </w:tc>
        <w:tc>
          <w:tcPr>
            <w:tcW w:w="1975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住保中心</w:t>
            </w:r>
          </w:p>
        </w:tc>
        <w:tc>
          <w:tcPr>
            <w:tcW w:w="3011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  <w:jc w:val="center"/>
        </w:trPr>
        <w:tc>
          <w:tcPr>
            <w:tcW w:w="2264" w:type="dxa"/>
            <w:gridSpan w:val="3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李军</w:t>
            </w:r>
          </w:p>
        </w:tc>
        <w:tc>
          <w:tcPr>
            <w:tcW w:w="2332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纪检书记</w:t>
            </w:r>
          </w:p>
        </w:tc>
        <w:tc>
          <w:tcPr>
            <w:tcW w:w="1975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住保中心</w:t>
            </w:r>
          </w:p>
        </w:tc>
        <w:tc>
          <w:tcPr>
            <w:tcW w:w="3011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>欧宏绘</w:t>
            </w:r>
          </w:p>
        </w:tc>
        <w:tc>
          <w:tcPr>
            <w:tcW w:w="2332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公共租赁运营中心主任</w:t>
            </w:r>
          </w:p>
        </w:tc>
        <w:tc>
          <w:tcPr>
            <w:tcW w:w="1975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住保中心</w:t>
            </w:r>
          </w:p>
        </w:tc>
        <w:tc>
          <w:tcPr>
            <w:tcW w:w="3011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孙志成</w:t>
            </w:r>
          </w:p>
        </w:tc>
        <w:tc>
          <w:tcPr>
            <w:tcW w:w="2332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直管公房运营中心主任</w:t>
            </w:r>
          </w:p>
        </w:tc>
        <w:tc>
          <w:tcPr>
            <w:tcW w:w="1975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住保中心</w:t>
            </w:r>
          </w:p>
        </w:tc>
        <w:tc>
          <w:tcPr>
            <w:tcW w:w="3011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刘美芝</w:t>
            </w:r>
          </w:p>
        </w:tc>
        <w:tc>
          <w:tcPr>
            <w:tcW w:w="2332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计财审计科副科长</w:t>
            </w:r>
          </w:p>
        </w:tc>
        <w:tc>
          <w:tcPr>
            <w:tcW w:w="1975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住保中心</w:t>
            </w:r>
          </w:p>
        </w:tc>
        <w:tc>
          <w:tcPr>
            <w:tcW w:w="3011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7" w:hRule="exact"/>
          <w:jc w:val="center"/>
        </w:trPr>
        <w:tc>
          <w:tcPr>
            <w:tcW w:w="9582" w:type="dxa"/>
            <w:gridSpan w:val="14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评价组组长（签字）：         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7" w:hRule="exac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项目单位意见：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                                           项目单位负责人（签章）：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0" w:hRule="exact"/>
          <w:jc w:val="center"/>
        </w:trPr>
        <w:tc>
          <w:tcPr>
            <w:tcW w:w="9582" w:type="dxa"/>
            <w:gridSpan w:val="14"/>
            <w:noWrap w:val="0"/>
            <w:vAlign w:val="top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主管部门意见：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                                           主管部门负责人（签章）：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3" w:hRule="exac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财政部门归口业务科室意见：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                                财政部门归口业务科室负责人（签章）：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                                                         年   月   日</w:t>
            </w:r>
          </w:p>
        </w:tc>
      </w:tr>
    </w:tbl>
    <w:p>
      <w:pPr>
        <w:rPr>
          <w:rFonts w:hint="eastAsia" w:eastAsia="仿宋_GB2312" w:cs="仿宋_GB2312"/>
          <w:bCs/>
          <w:sz w:val="24"/>
          <w:szCs w:val="24"/>
        </w:rPr>
      </w:pPr>
      <w:r>
        <w:rPr>
          <w:rFonts w:hint="eastAsia" w:eastAsia="仿宋_GB2312" w:cs="仿宋_GB2312"/>
          <w:bCs/>
          <w:sz w:val="24"/>
          <w:szCs w:val="24"/>
        </w:rPr>
        <w:t>填报人（签名）：                          联系电话：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8" w:hRule="atLeast"/>
          <w:jc w:val="center"/>
        </w:trPr>
        <w:tc>
          <w:tcPr>
            <w:tcW w:w="9369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0" w:leftChars="0" w:firstLine="562" w:firstLineChars="200"/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  <w:lang w:val="en-US" w:eastAsia="zh-CN"/>
              </w:rPr>
              <w:t>岳阳市住房保障服务中心非税收入执收成本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评价报告综述</w:t>
            </w:r>
          </w:p>
          <w:p>
            <w:pPr>
              <w:numPr>
                <w:ilvl w:val="0"/>
                <w:numId w:val="2"/>
              </w:numPr>
              <w:spacing w:line="560" w:lineRule="exact"/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项目基本概况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textAlignment w:val="auto"/>
              <w:rPr>
                <w:rFonts w:hint="eastAsia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/>
                <w:sz w:val="21"/>
                <w:szCs w:val="21"/>
                <w:lang w:val="en-US" w:eastAsia="zh-CN"/>
              </w:rPr>
              <w:t>中心下属公共租赁房屋运营服务中心、直管公房运营服务中心为正科级差额拨款事业单位，共有编制116人，实有101人，退休60人。主要负责如果负责市本级保障房的管理、维护。主要经费来源为保障房租金返还（即非税收入执收成本）。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二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项目资金使用及管理情况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项目资金情况分析：2019年度非税收入执收成本财政预算指标额为1110万元，其中根据岳市财预[2019]1号《岳阳市财政局关于批复2019年市本级部门预算通知》核定指标为1110万元；我中心实际收到下拨金额为1110万元，具体列示如下表</w:t>
            </w:r>
          </w:p>
          <w:tbl>
            <w:tblPr>
              <w:tblStyle w:val="4"/>
              <w:tblW w:w="9153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30"/>
              <w:gridCol w:w="1635"/>
              <w:gridCol w:w="2026"/>
              <w:gridCol w:w="1831"/>
              <w:gridCol w:w="183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30" w:type="dxa"/>
                  <w:noWrap w:val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hd w:val="clear" w:color="auto" w:fill="auto"/>
                    <w:spacing w:line="560" w:lineRule="exact"/>
                    <w:ind w:left="0" w:leftChars="0" w:right="0" w:rightChars="0" w:firstLine="0" w:firstLineChars="0"/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1"/>
                      <w:szCs w:val="21"/>
                      <w:vertAlign w:val="baseline"/>
                      <w:lang w:val="en-US" w:eastAsia="zh-CN"/>
                    </w:rPr>
                    <w:t>文 件 号</w:t>
                  </w:r>
                </w:p>
              </w:tc>
              <w:tc>
                <w:tcPr>
                  <w:tcW w:w="1635" w:type="dxa"/>
                  <w:noWrap w:val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hd w:val="clear" w:color="auto" w:fill="auto"/>
                    <w:spacing w:line="560" w:lineRule="exact"/>
                    <w:ind w:left="0" w:leftChars="0" w:right="0" w:rightChars="0" w:firstLine="0" w:firstLineChars="0"/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1"/>
                      <w:szCs w:val="21"/>
                      <w:vertAlign w:val="baseline"/>
                      <w:lang w:val="en-US" w:eastAsia="zh-CN"/>
                    </w:rPr>
                    <w:t>发 文 日 期</w:t>
                  </w:r>
                </w:p>
              </w:tc>
              <w:tc>
                <w:tcPr>
                  <w:tcW w:w="2026" w:type="dxa"/>
                  <w:noWrap w:val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hd w:val="clear" w:color="auto" w:fill="auto"/>
                    <w:spacing w:line="560" w:lineRule="exact"/>
                    <w:ind w:left="0" w:leftChars="0" w:right="0" w:rightChars="0" w:firstLine="0" w:firstLineChars="0"/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1"/>
                      <w:szCs w:val="21"/>
                      <w:vertAlign w:val="baseline"/>
                      <w:lang w:val="en-US" w:eastAsia="zh-CN"/>
                    </w:rPr>
                    <w:t>摘   要</w:t>
                  </w:r>
                </w:p>
              </w:tc>
              <w:tc>
                <w:tcPr>
                  <w:tcW w:w="1831" w:type="dxa"/>
                  <w:noWrap w:val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hd w:val="clear" w:color="auto" w:fill="auto"/>
                    <w:spacing w:line="560" w:lineRule="exact"/>
                    <w:ind w:left="0" w:leftChars="0" w:right="0" w:rightChars="0" w:firstLine="0" w:firstLineChars="0"/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1"/>
                      <w:szCs w:val="21"/>
                      <w:vertAlign w:val="baseline"/>
                      <w:lang w:val="en-US" w:eastAsia="zh-CN"/>
                    </w:rPr>
                    <w:t>指 标 金 额（万元）</w:t>
                  </w:r>
                </w:p>
              </w:tc>
              <w:tc>
                <w:tcPr>
                  <w:tcW w:w="1831" w:type="dxa"/>
                  <w:noWrap w:val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hd w:val="clear" w:color="auto" w:fill="auto"/>
                    <w:spacing w:line="560" w:lineRule="exact"/>
                    <w:ind w:left="0" w:leftChars="0" w:right="0" w:rightChars="0" w:firstLine="0" w:firstLineChars="0"/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1"/>
                      <w:szCs w:val="21"/>
                      <w:vertAlign w:val="baseline"/>
                      <w:lang w:val="en-US" w:eastAsia="zh-CN"/>
                    </w:rPr>
                    <w:t>拨 款 金 额（万元）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30" w:type="dxa"/>
                  <w:noWrap w:val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hd w:val="clear" w:color="auto" w:fill="auto"/>
                    <w:spacing w:line="560" w:lineRule="exact"/>
                    <w:ind w:left="0" w:leftChars="0" w:right="0" w:rightChars="0" w:firstLine="0" w:firstLineChars="0"/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1"/>
                      <w:szCs w:val="21"/>
                      <w:vertAlign w:val="baseline"/>
                      <w:lang w:val="en-US" w:eastAsia="zh-CN"/>
                    </w:rPr>
                    <w:t>岳市财预</w:t>
                  </w:r>
                  <w:r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1"/>
                      <w:szCs w:val="21"/>
                      <w:lang w:val="en-US" w:eastAsia="zh-CN"/>
                    </w:rPr>
                    <w:t>[2019]1号</w:t>
                  </w:r>
                </w:p>
              </w:tc>
              <w:tc>
                <w:tcPr>
                  <w:tcW w:w="1635" w:type="dxa"/>
                  <w:noWrap w:val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hd w:val="clear" w:color="auto" w:fill="auto"/>
                    <w:spacing w:line="560" w:lineRule="exact"/>
                    <w:ind w:left="0" w:leftChars="0" w:right="0" w:rightChars="0" w:firstLine="0" w:firstLineChars="0"/>
                    <w:jc w:val="center"/>
                    <w:rPr>
                      <w:rFonts w:hint="default" w:ascii="仿宋_GB2312" w:hAnsi="仿宋_GB2312" w:eastAsia="仿宋_GB2312" w:cs="仿宋_GB2312"/>
                      <w:b w:val="0"/>
                      <w:bCs w:val="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1"/>
                      <w:szCs w:val="21"/>
                      <w:vertAlign w:val="baseline"/>
                      <w:lang w:val="en-US" w:eastAsia="zh-CN"/>
                    </w:rPr>
                    <w:t>2019-1-15</w:t>
                  </w:r>
                </w:p>
              </w:tc>
              <w:tc>
                <w:tcPr>
                  <w:tcW w:w="2026" w:type="dxa"/>
                  <w:noWrap w:val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hd w:val="clear" w:color="auto" w:fill="auto"/>
                    <w:spacing w:line="560" w:lineRule="exact"/>
                    <w:ind w:left="0" w:leftChars="0" w:right="0" w:rightChars="0" w:firstLine="0" w:firstLineChars="0"/>
                    <w:jc w:val="center"/>
                    <w:rPr>
                      <w:rFonts w:hint="default" w:ascii="仿宋_GB2312" w:hAnsi="仿宋_GB2312" w:eastAsia="仿宋_GB2312" w:cs="仿宋_GB2312"/>
                      <w:b w:val="0"/>
                      <w:bCs w:val="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1"/>
                      <w:szCs w:val="21"/>
                      <w:vertAlign w:val="baseline"/>
                      <w:lang w:val="en-US" w:eastAsia="zh-CN"/>
                    </w:rPr>
                    <w:t>非税收入执收成本</w:t>
                  </w:r>
                </w:p>
              </w:tc>
              <w:tc>
                <w:tcPr>
                  <w:tcW w:w="1831" w:type="dxa"/>
                  <w:noWrap w:val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hd w:val="clear" w:color="auto" w:fill="auto"/>
                    <w:spacing w:line="560" w:lineRule="exact"/>
                    <w:ind w:left="0" w:leftChars="0" w:right="0" w:rightChars="0" w:firstLine="0" w:firstLineChars="0"/>
                    <w:jc w:val="center"/>
                    <w:rPr>
                      <w:rFonts w:hint="default" w:ascii="仿宋_GB2312" w:hAnsi="仿宋_GB2312" w:eastAsia="仿宋_GB2312" w:cs="仿宋_GB2312"/>
                      <w:b w:val="0"/>
                      <w:bCs w:val="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1"/>
                      <w:szCs w:val="21"/>
                      <w:vertAlign w:val="baseline"/>
                      <w:lang w:val="en-US" w:eastAsia="zh-CN"/>
                    </w:rPr>
                    <w:t>1110</w:t>
                  </w:r>
                </w:p>
              </w:tc>
              <w:tc>
                <w:tcPr>
                  <w:tcW w:w="1831" w:type="dxa"/>
                  <w:noWrap w:val="0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hd w:val="clear" w:color="auto" w:fill="auto"/>
                    <w:spacing w:line="560" w:lineRule="exact"/>
                    <w:ind w:left="0" w:leftChars="0" w:right="0" w:rightChars="0" w:firstLine="0" w:firstLineChars="0"/>
                    <w:jc w:val="center"/>
                    <w:rPr>
                      <w:rFonts w:hint="default" w:ascii="仿宋_GB2312" w:hAnsi="仿宋_GB2312" w:eastAsia="仿宋_GB2312" w:cs="仿宋_GB2312"/>
                      <w:b w:val="0"/>
                      <w:bCs w:val="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1"/>
                      <w:szCs w:val="21"/>
                      <w:vertAlign w:val="baseline"/>
                      <w:lang w:val="en-US" w:eastAsia="zh-CN"/>
                    </w:rPr>
                    <w:t>1110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1"/>
                <w:szCs w:val="21"/>
                <w:lang w:val="en-US" w:eastAsia="zh-CN"/>
              </w:rPr>
              <w:t>1.资金使用情况分析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2019年度我中心收到岳阳市财政局拨入非税收入执收成本1110万元，支付保障房管理维护经费1110万元，收支持平。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firstLine="420" w:firstLineChars="200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2019年非税收入执收成本支付汇总表</w:t>
            </w:r>
          </w:p>
          <w:tbl>
            <w:tblPr>
              <w:tblStyle w:val="4"/>
              <w:tblW w:w="9153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193"/>
              <w:gridCol w:w="2830"/>
              <w:gridCol w:w="213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33" w:hRule="exact"/>
              </w:trPr>
              <w:tc>
                <w:tcPr>
                  <w:tcW w:w="4193" w:type="dxa"/>
                  <w:noWrap w:val="0"/>
                  <w:vAlign w:val="center"/>
                </w:tcPr>
                <w:p>
                  <w:pPr>
                    <w:numPr>
                      <w:ilvl w:val="0"/>
                      <w:numId w:val="0"/>
                    </w:num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hd w:val="clear" w:color="auto" w:fill="auto"/>
                    <w:spacing w:line="560" w:lineRule="exact"/>
                    <w:ind w:left="0" w:leftChars="0" w:right="0" w:rightChars="0" w:firstLine="0" w:firstLineChars="0"/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1"/>
                      <w:szCs w:val="21"/>
                      <w:vertAlign w:val="baseline"/>
                      <w:lang w:val="en-US" w:eastAsia="zh-CN"/>
                    </w:rPr>
                    <w:t>支付内容</w:t>
                  </w:r>
                </w:p>
              </w:tc>
              <w:tc>
                <w:tcPr>
                  <w:tcW w:w="2830" w:type="dxa"/>
                  <w:noWrap w:val="0"/>
                  <w:vAlign w:val="center"/>
                </w:tcPr>
                <w:p>
                  <w:pPr>
                    <w:numPr>
                      <w:ilvl w:val="0"/>
                      <w:numId w:val="0"/>
                    </w:num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hd w:val="clear" w:color="auto" w:fill="auto"/>
                    <w:spacing w:line="560" w:lineRule="exact"/>
                    <w:ind w:left="0" w:leftChars="0" w:right="0" w:rightChars="0" w:firstLine="0" w:firstLineChars="0"/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1"/>
                      <w:szCs w:val="21"/>
                      <w:vertAlign w:val="baseline"/>
                      <w:lang w:val="en-US" w:eastAsia="zh-CN"/>
                    </w:rPr>
                    <w:t>金额</w:t>
                  </w:r>
                </w:p>
              </w:tc>
              <w:tc>
                <w:tcPr>
                  <w:tcW w:w="2130" w:type="dxa"/>
                  <w:noWrap w:val="0"/>
                  <w:vAlign w:val="center"/>
                </w:tcPr>
                <w:p>
                  <w:pPr>
                    <w:numPr>
                      <w:ilvl w:val="0"/>
                      <w:numId w:val="0"/>
                    </w:num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hd w:val="clear" w:color="auto" w:fill="auto"/>
                    <w:spacing w:line="560" w:lineRule="exact"/>
                    <w:ind w:left="0" w:leftChars="0" w:right="0" w:rightChars="0" w:firstLine="0" w:firstLineChars="0"/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1"/>
                      <w:szCs w:val="21"/>
                      <w:vertAlign w:val="baseline"/>
                      <w:lang w:val="en-US" w:eastAsia="zh-CN"/>
                    </w:rPr>
                    <w:t>备注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33" w:hRule="exact"/>
              </w:trPr>
              <w:tc>
                <w:tcPr>
                  <w:tcW w:w="4193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kern w:val="2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  <w:lang w:val="en-US" w:eastAsia="zh-CN"/>
                    </w:rPr>
                    <w:t>工资福利费用</w:t>
                  </w:r>
                </w:p>
              </w:tc>
              <w:tc>
                <w:tcPr>
                  <w:tcW w:w="283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kern w:val="2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  <w:lang w:val="en-US" w:eastAsia="zh-CN"/>
                    </w:rPr>
                    <w:t>402.12</w:t>
                  </w:r>
                </w:p>
              </w:tc>
              <w:tc>
                <w:tcPr>
                  <w:tcW w:w="213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_GB2312" w:cs="Times New Roman"/>
                      <w:kern w:val="2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eastAsia="仿宋_GB2312"/>
                      <w:sz w:val="21"/>
                      <w:szCs w:val="21"/>
                      <w:lang w:val="en-US" w:eastAsia="zh-CN"/>
                    </w:rPr>
                    <w:t>差额人员支出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33" w:hRule="exact"/>
              </w:trPr>
              <w:tc>
                <w:tcPr>
                  <w:tcW w:w="4193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kern w:val="2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  <w:lang w:val="en-US" w:eastAsia="zh-CN"/>
                    </w:rPr>
                    <w:t>商品和服务费用</w:t>
                  </w:r>
                </w:p>
              </w:tc>
              <w:tc>
                <w:tcPr>
                  <w:tcW w:w="283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kern w:val="2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  <w:lang w:val="en-US" w:eastAsia="zh-CN"/>
                    </w:rPr>
                    <w:t>352.36</w:t>
                  </w:r>
                </w:p>
              </w:tc>
              <w:tc>
                <w:tcPr>
                  <w:tcW w:w="213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_GB2312" w:cs="Times New Roman"/>
                      <w:kern w:val="2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eastAsia="仿宋_GB2312"/>
                      <w:sz w:val="21"/>
                      <w:szCs w:val="21"/>
                      <w:lang w:val="en-US" w:eastAsia="zh-CN"/>
                    </w:rPr>
                    <w:t>维修、物业管理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33" w:hRule="exact"/>
              </w:trPr>
              <w:tc>
                <w:tcPr>
                  <w:tcW w:w="4193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kern w:val="2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  <w:lang w:val="en-US" w:eastAsia="zh-CN"/>
                    </w:rPr>
                    <w:t>退休人员支出</w:t>
                  </w:r>
                </w:p>
              </w:tc>
              <w:tc>
                <w:tcPr>
                  <w:tcW w:w="283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kern w:val="2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1"/>
                      <w:szCs w:val="21"/>
                      <w:lang w:val="en-US" w:eastAsia="zh-CN"/>
                    </w:rPr>
                    <w:t>355.52</w:t>
                  </w:r>
                </w:p>
              </w:tc>
              <w:tc>
                <w:tcPr>
                  <w:tcW w:w="213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_GB2312" w:cs="Times New Roman"/>
                      <w:kern w:val="2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eastAsia="仿宋_GB2312"/>
                      <w:sz w:val="21"/>
                      <w:szCs w:val="21"/>
                      <w:lang w:val="en-US" w:eastAsia="zh-CN"/>
                    </w:rPr>
                    <w:t xml:space="preserve">养老金缺口、费用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33" w:hRule="exact"/>
              </w:trPr>
              <w:tc>
                <w:tcPr>
                  <w:tcW w:w="4193" w:type="dxa"/>
                  <w:noWrap w:val="0"/>
                  <w:vAlign w:val="center"/>
                </w:tcPr>
                <w:p>
                  <w:pPr>
                    <w:numPr>
                      <w:ilvl w:val="0"/>
                      <w:numId w:val="0"/>
                    </w:num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hd w:val="clear" w:color="auto" w:fill="auto"/>
                    <w:spacing w:line="560" w:lineRule="exact"/>
                    <w:ind w:left="0" w:leftChars="0" w:right="0" w:rightChars="0" w:firstLine="0" w:firstLineChars="0"/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1"/>
                      <w:szCs w:val="21"/>
                      <w:vertAlign w:val="baseline"/>
                      <w:lang w:val="en-US" w:eastAsia="zh-CN"/>
                    </w:rPr>
                    <w:t>合计</w:t>
                  </w:r>
                </w:p>
              </w:tc>
              <w:tc>
                <w:tcPr>
                  <w:tcW w:w="2830" w:type="dxa"/>
                  <w:noWrap w:val="0"/>
                  <w:vAlign w:val="center"/>
                </w:tcPr>
                <w:p>
                  <w:pPr>
                    <w:numPr>
                      <w:ilvl w:val="0"/>
                      <w:numId w:val="0"/>
                    </w:num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hd w:val="clear" w:color="auto" w:fill="auto"/>
                    <w:spacing w:line="560" w:lineRule="exact"/>
                    <w:ind w:left="0" w:leftChars="0" w:right="0" w:rightChars="0" w:firstLine="0" w:firstLineChars="0"/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1"/>
                      <w:szCs w:val="21"/>
                      <w:vertAlign w:val="baseline"/>
                      <w:lang w:val="en-US" w:eastAsia="zh-CN"/>
                    </w:rPr>
                    <w:t>1110万元</w:t>
                  </w:r>
                </w:p>
              </w:tc>
              <w:tc>
                <w:tcPr>
                  <w:tcW w:w="2130" w:type="dxa"/>
                  <w:noWrap w:val="0"/>
                  <w:vAlign w:val="center"/>
                </w:tcPr>
                <w:p>
                  <w:pPr>
                    <w:numPr>
                      <w:ilvl w:val="0"/>
                      <w:numId w:val="0"/>
                    </w:numPr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between w:val="none" w:color="auto" w:sz="0" w:space="0"/>
                    </w:pBdr>
                    <w:shd w:val="clear" w:color="auto" w:fill="auto"/>
                    <w:spacing w:line="560" w:lineRule="exact"/>
                    <w:ind w:left="0" w:leftChars="0" w:right="0" w:rightChars="0" w:firstLine="0" w:firstLineChars="0"/>
                    <w:jc w:val="center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</w:p>
              </w:tc>
            </w:tr>
          </w:tbl>
          <w:p>
            <w:pPr>
              <w:numPr>
                <w:ilvl w:val="0"/>
                <w:numId w:val="0"/>
              </w:numPr>
              <w:spacing w:line="560" w:lineRule="exact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我中心负责非税收入执收成本的收付和使用，并记录专项款的使用情况。非税收入执收成本的拨付是按收取的保障房租金全额返还，列入财政预算。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 xml:space="preserve">    非税收入执收成本当年财政预算资金实现了专款专用，专账管理的原则，由岳阳市财政国库集中支付局集中支付，最大程度上的避免了违规情况发生。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三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项目组织实施情况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textAlignment w:val="auto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1.项目组织情况：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中心负责公共租赁房屋的管理、维修、租金收取工作，协助实施公共租赁房屋危旧房的改造；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负责公共租赁房屋运营腾退管理；负责查处有关违法违规行为，协调处理运营管理过程中有关信访纠纷问题；承担实施公共租赁房屋的实物分配的具体工作；负责公共租赁房屋资产保值增值及安全管理工作；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textAlignment w:val="auto"/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2.项目管理情况：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①严格完善财务管理制度和内部审计制度。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②积极处理租金减免、欠缴、空置等问题。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③规范保障住房的日常管理。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④着力监管，房屋安全工作长抓不懈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四）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综合评价情况及评价结论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20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根据考核评分细则，考评组认为，我单位2019年度非税收入执收成本由财政下拨专项资金，管理规范、项目管理到位、政策执行有力、有效发挥了财政资金的使用效率。保障了城区保障房的管理和维护，保障了9000多户中低收入家庭的居住安全。综合考评得分95分，等级为“优秀”，具体评分见附件1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（五）、项目主要绩效情况分析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非税收入执收成本基本用于人员开支和保障房的维护、管理，2019年为节约成本无三公经费的开支。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、主要经验及做法、存在问题和建议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textAlignment w:val="auto"/>
              <w:rPr>
                <w:rFonts w:hint="default" w:ascii="仿宋" w:hAnsi="仿宋" w:eastAsia="仿宋_GB2312" w:cs="新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加快单位信息化建设，将房源信息、房屋状况以及租金收缴及时更新。由于我中心部分房屋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分布在鄢家冲、茶巷子、观音阁、先锋路、韩家湾、城陵矶、金家岭、芋头田、太子庙、学坡、梅溪桥等旧城区，分布非常分散，房屋比较破旧，维修任务大。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物业管理分散，投入管理的成本比较大，经费比较紧张。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（七）附件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textAlignment w:val="auto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1.2019年度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非税执收成本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绩效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评价评分表（附件2）</w:t>
            </w:r>
          </w:p>
          <w:p>
            <w:pPr>
              <w:spacing w:before="187" w:beforeLines="60" w:after="187" w:afterLines="60" w:line="560" w:lineRule="exact"/>
              <w:jc w:val="both"/>
              <w:rPr>
                <w:rFonts w:eastAsia="楷体_GB2312"/>
                <w:bCs/>
                <w:sz w:val="28"/>
                <w:szCs w:val="28"/>
              </w:rPr>
            </w:pPr>
          </w:p>
        </w:tc>
      </w:tr>
    </w:tbl>
    <w:p>
      <w:pPr>
        <w:spacing w:before="156" w:beforeLines="50"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before="156" w:beforeLines="50"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7" w:beforeLines="60" w:after="187" w:afterLines="60" w:line="400" w:lineRule="exact"/>
        <w:jc w:val="center"/>
        <w:textAlignment w:val="auto"/>
        <w:rPr>
          <w:rFonts w:hint="eastAsia" w:ascii="方正小标宋简体" w:eastAsia="方正小标宋简体"/>
          <w:sz w:val="38"/>
          <w:szCs w:val="38"/>
          <w:lang w:val="en-US" w:eastAsia="zh-CN"/>
        </w:rPr>
      </w:pPr>
      <w:r>
        <w:rPr>
          <w:rFonts w:hint="eastAsia" w:ascii="方正小标宋简体" w:eastAsia="方正小标宋简体"/>
          <w:sz w:val="38"/>
          <w:szCs w:val="38"/>
          <w:lang w:val="en-US" w:eastAsia="zh-CN"/>
        </w:rPr>
        <w:t>岳阳市住房保障服务中心非税执收成本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7" w:beforeLines="60" w:after="187" w:afterLines="60" w:line="400" w:lineRule="exact"/>
        <w:jc w:val="center"/>
        <w:textAlignment w:val="auto"/>
        <w:rPr>
          <w:rFonts w:hint="eastAsia" w:ascii="方正小标宋简体" w:eastAsia="方正小标宋简体"/>
          <w:sz w:val="38"/>
          <w:szCs w:val="38"/>
        </w:rPr>
      </w:pPr>
      <w:r>
        <w:rPr>
          <w:rFonts w:hint="eastAsia" w:ascii="方正小标宋简体" w:eastAsia="方正小标宋简体"/>
          <w:sz w:val="38"/>
          <w:szCs w:val="38"/>
        </w:rPr>
        <w:t>绩效评价指标体系</w:t>
      </w:r>
    </w:p>
    <w:tbl>
      <w:tblPr>
        <w:tblStyle w:val="4"/>
        <w:tblW w:w="98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540"/>
        <w:gridCol w:w="703"/>
        <w:gridCol w:w="540"/>
        <w:gridCol w:w="803"/>
        <w:gridCol w:w="550"/>
        <w:gridCol w:w="2407"/>
        <w:gridCol w:w="2772"/>
        <w:gridCol w:w="8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一级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二级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三级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7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自评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项目决策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项目目标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内容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设立了项目绩效目标；目标明确；目标细化；目标量化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①设有目标（1分）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②目标明确（1分）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③目标细化（1分）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④目标量化（1分）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决策过程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依据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①符合法律法规（1分）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②符合经济社会发展规划（1分）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③部门年度工作计划（1分）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④针对某一实际问题和需求（1分）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以上③需提供佐证资料。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程序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项目符合申报条件；申报、批复程序符合相关管理办法；项目调整履行了相应手续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①符合申报条件（2分）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②项目申报、批复程序符合管理办法（1分）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③项目调整履行了相应手续（1分）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资金分配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分配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办法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①有相应的资金管理办法（1分）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②办法健全、规范（1分）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③因素全面合理（1分）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分配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结果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资金分配符合相关管理办法；分配结果公平合理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①符合分配办法（2分）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②分配公平合理（3分）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此项需提供相应的资金分配方案。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项目管理 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资金到位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到位率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实际到位/计划到位*100%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根据项目资金的实际到位率计算得分（3分）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到位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时效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资金及时到位；若未及时到位，是否影响项目进度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①到位及时（2分）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</w:rPr>
              <w:t>②不及时但未影响项目进度 （1分）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③不及时并影响项目进度（0.5分）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资金管理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使用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支出依据合规，无虚列项目支出情况；无截留挤占挪用情况；无超标准开支情况；无超预算情况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①虚列套取扣4-7分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②依据不合规扣2分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③截留、挤占、挪用扣3-6分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④超标准开支扣2-5分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⑤超预算扣2-5分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财务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资金管理、费用支出等制度健全；制度执行严格；会计核算规范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①财务制度健全（1分）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②严格执行制度（1分）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③会计核算规范（1分）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项目管理 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组织实施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机构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机构健全、分工明确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①机构健全、分工明确  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支撑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条件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项目实施单位是否提供或具备了必备的人员、场地和设备等条件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具备人员、场地、设备条件（1分）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实施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项目按计划开工；按计划进度开展；按计划完工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①按计划开工（1分）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②按计划开展（1分）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③按计划完工（1分）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制度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项目管理制度健全；严格执行相关管理制度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①管理制度健全（2分）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②制度执行严格（3分）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一级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二级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三级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自评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项目绩效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数量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目标完成率=目标完成数/预定目标数×100%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完成绩效目标100%得5分，未完成100%的同比例扣减。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质量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目标完成质量=实际达到的效果/预定目标×100%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项目产出质量达到绩效目标100%得4分，未完成100%的同比例扣减。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时效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项目资金使用的预定目标是否如期完成，未完成的理由是否充分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项目产出时效达到绩效目标得3分，未如期完成且无充分理由的扣3分。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成本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项目产出成本是否按绩效目标控制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项目产出成本按绩效目标控制得3分，未完成的，按超支比例扣减。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项目效果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经济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指项目对国民经济和区域经济发展所带来的直接或间接效益等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完成绩效目标设定的经济效益得8分，未完成的，按完成情况酌情扣分。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项目实施是否产生社会综合效益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完成绩效目标设定的社会效益得8分，未完成的，按完成情况酌情扣分。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环境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项目实施是否对环境产生积极或消极影响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完成绩效目标设定的积极的环境效益得8分，未完成的，按完成情况酌情扣分。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可持续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影响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项目实施对人、自然、资源是否带来可持续影响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完成绩效设定目标的得8分，未完成的，按完成情况酌情扣分。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服务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对象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满意度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服务对象满意率=项目区被调查人数中表示满意的人数(户数)/ 被调查人数(户数)×100%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满意率达90%（含）以上的得8分，80%（含）-90%得6分，70%（含）-80%得4分，60%（含）-70%得2分，60%以下不得分。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7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总分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95</w:t>
            </w:r>
          </w:p>
        </w:tc>
      </w:tr>
    </w:tbl>
    <w:p>
      <w:pPr>
        <w:adjustRightInd w:val="0"/>
        <w:snapToGrid w:val="0"/>
        <w:spacing w:before="156" w:beforeLines="50" w:line="200" w:lineRule="exact"/>
        <w:contextualSpacing/>
        <w:rPr>
          <w:rFonts w:hint="eastAsia" w:ascii="仿宋_GB2312" w:eastAsia="仿宋_GB2312"/>
        </w:rPr>
      </w:pPr>
    </w:p>
    <w:p>
      <w:pPr>
        <w:adjustRightInd w:val="0"/>
        <w:snapToGrid w:val="0"/>
        <w:spacing w:line="200" w:lineRule="exact"/>
        <w:contextualSpacing/>
        <w:jc w:val="right"/>
        <w:rPr>
          <w:rFonts w:hint="eastAsia" w:eastAsia="仿宋_GB2312"/>
          <w:sz w:val="32"/>
        </w:rPr>
      </w:pPr>
    </w:p>
    <w:p>
      <w:pPr>
        <w:adjustRightInd w:val="0"/>
        <w:snapToGrid w:val="0"/>
        <w:spacing w:line="200" w:lineRule="exact"/>
        <w:contextualSpacing/>
        <w:jc w:val="right"/>
        <w:rPr>
          <w:rFonts w:hint="eastAsia" w:eastAsia="仿宋_GB2312"/>
          <w:sz w:val="32"/>
        </w:rPr>
      </w:pPr>
    </w:p>
    <w:p>
      <w:pPr>
        <w:adjustRightInd w:val="0"/>
        <w:snapToGrid w:val="0"/>
        <w:spacing w:line="200" w:lineRule="exact"/>
        <w:contextualSpacing/>
        <w:jc w:val="right"/>
        <w:rPr>
          <w:rFonts w:hint="eastAsia" w:eastAsia="仿宋_GB2312"/>
          <w:sz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sz w:val="24"/>
        <w:szCs w:val="24"/>
      </w:rPr>
    </w:pPr>
    <w:r>
      <w:rPr>
        <w:rStyle w:val="6"/>
        <w:rFonts w:hint="eastAsia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6"/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rStyle w:val="6"/>
        <w:rFonts w:hint="eastAsia"/>
        <w:sz w:val="24"/>
        <w:szCs w:val="24"/>
      </w:rPr>
      <w:t xml:space="preserve"> —</w:t>
    </w:r>
  </w:p>
  <w:p>
    <w:pPr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07C972"/>
    <w:multiLevelType w:val="singleLevel"/>
    <w:tmpl w:val="A107C972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29C0275"/>
    <w:multiLevelType w:val="singleLevel"/>
    <w:tmpl w:val="F29C0275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2CC5F241"/>
    <w:multiLevelType w:val="singleLevel"/>
    <w:tmpl w:val="2CC5F241"/>
    <w:lvl w:ilvl="0" w:tentative="0">
      <w:start w:val="6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4256F0"/>
    <w:rsid w:val="002B5D92"/>
    <w:rsid w:val="0A5748A1"/>
    <w:rsid w:val="0C4E5CEB"/>
    <w:rsid w:val="0D76296C"/>
    <w:rsid w:val="0F960FBE"/>
    <w:rsid w:val="112C7E4C"/>
    <w:rsid w:val="120F1BDE"/>
    <w:rsid w:val="14426BE4"/>
    <w:rsid w:val="15327D5B"/>
    <w:rsid w:val="1796020C"/>
    <w:rsid w:val="18CF296B"/>
    <w:rsid w:val="1ACA4B06"/>
    <w:rsid w:val="1FF612EF"/>
    <w:rsid w:val="20905E61"/>
    <w:rsid w:val="23DA147D"/>
    <w:rsid w:val="240E7C09"/>
    <w:rsid w:val="24944A7E"/>
    <w:rsid w:val="329139D2"/>
    <w:rsid w:val="37B674A4"/>
    <w:rsid w:val="3BED2797"/>
    <w:rsid w:val="408D630D"/>
    <w:rsid w:val="41EF543F"/>
    <w:rsid w:val="44583E96"/>
    <w:rsid w:val="48D8381C"/>
    <w:rsid w:val="4D822CE2"/>
    <w:rsid w:val="52F846D7"/>
    <w:rsid w:val="562B1490"/>
    <w:rsid w:val="57870766"/>
    <w:rsid w:val="5B6B5191"/>
    <w:rsid w:val="5BEA67B0"/>
    <w:rsid w:val="5C4256F0"/>
    <w:rsid w:val="6AD32E16"/>
    <w:rsid w:val="71F23AAB"/>
    <w:rsid w:val="787633F1"/>
    <w:rsid w:val="78D75BEE"/>
    <w:rsid w:val="7DFA0CA4"/>
    <w:rsid w:val="7EF5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2020-05-28T01:45:00Z</dcterms:created>
  <dc:creator>刘美芝</dc:creator>
  <cp:lastModifiedBy>刘美芝</cp:lastModifiedBy>
  <cp:lastPrinted>2020-06-15T06:35:00Z</cp:lastPrinted>
  <dcterms:modified xsi:type="dcterms:W3CDTF">2020-06-19T00:19:37Z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